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EA" w:rsidRDefault="008B61EA" w:rsidP="008B61E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4F8876F" wp14:editId="4D70576F">
            <wp:extent cx="2880359" cy="128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82" cy="12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11" w:rsidRPr="008B61EA" w:rsidRDefault="00D44011" w:rsidP="008B61E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B61E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МИНИСТЕРСТВО ОБРАЗОВАНИЯ И НАУКИ РЕСПУ</w:t>
      </w:r>
      <w:r w:rsidRPr="008B61E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Б</w:t>
      </w:r>
      <w:r w:rsidRPr="008B61E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ЛИКИ ДАГЕСТАН</w:t>
      </w:r>
    </w:p>
    <w:p w:rsidR="00D44011" w:rsidRPr="008B61EA" w:rsidRDefault="00D44011" w:rsidP="00D44011">
      <w:pPr>
        <w:ind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61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БЮДЖЕТНОЕ УЧРЕЖДЕНИЕ РЕСПУБЛИКИ ДАГЕСТАН</w:t>
      </w:r>
    </w:p>
    <w:p w:rsidR="00C366E8" w:rsidRPr="008B61EA" w:rsidRDefault="00D44011" w:rsidP="00D4401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61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«ЦЕНТР НЕПРЕРЫВНОГО ПОВЫШЕНИЯ ПРОФЕССИОНАЛЬНОГО </w:t>
      </w: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61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МАСТЕРСТВА ПЕДАГОГИЧЕСКИХ РАБОТНИКОВ»</w:t>
      </w:r>
    </w:p>
    <w:p w:rsidR="008B61EA" w:rsidRPr="008B61EA" w:rsidRDefault="008B61EA" w:rsidP="00D4401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4011" w:rsidRPr="008B61EA" w:rsidRDefault="008B61EA" w:rsidP="008B61E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D44011" w:rsidRPr="00B27BB2" w:rsidRDefault="00CD6C3E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6C3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56350" cy="1600815"/>
            <wp:effectExtent l="19050" t="0" r="6350" b="0"/>
            <wp:docPr id="4" name="Рисунок 4" descr="https://sun9-65.userapi.com/impf/FOJEhWzW7ksLtc7U_SkafQ36wiJbpkxGhVZaPw/zAUjZXD1SiU.jpg?size=1590x400&amp;quality=95&amp;crop=0,0,1590,400&amp;sign=9391fab8a62326330a1e9cf0434e7e03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f/FOJEhWzW7ksLtc7U_SkafQ36wiJbpkxGhVZaPw/zAUjZXD1SiU.jpg?size=1590x400&amp;quality=95&amp;crop=0,0,1590,400&amp;sign=9391fab8a62326330a1e9cf0434e7e03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160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с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>«Школьного кванториума»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3E" w:rsidRDefault="00CD6C3E" w:rsidP="00CD6C3E">
      <w:pPr>
        <w:pStyle w:val="20"/>
        <w:spacing w:after="0" w:line="276" w:lineRule="auto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1" w:name="bookmark15"/>
    </w:p>
    <w:p w:rsidR="00546401" w:rsidRPr="00D44011" w:rsidRDefault="00546401" w:rsidP="00CD6C3E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лаборатории по беологии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lastRenderedPageBreak/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рений и обработки полученных измерений. Развить познавательный интерес и 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предметные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действий,достигаемых обучающимися</w:t>
      </w:r>
      <w:bookmarkEnd w:id="5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международного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экосистемнойпозновательной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ванных на межпредметном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 результаты:</w:t>
      </w:r>
      <w:bookmarkEnd w:id="7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регулятивных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познавател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её с позициями партнёров в сотрудничестве при выработке общего решения в со</w:t>
      </w:r>
      <w:r w:rsidRPr="00D44011">
        <w:rPr>
          <w:rFonts w:ascii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чело- 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9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10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Нуклеиновые кислоты. Лабораторная работа № 2 «Выделение и очистка ДНК из клеток растений». Органеллы клетки. Лабораторная работа № 3 «Плазмолиз и 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>го газа клетками водоросли хлореллы». Лабораторная работа № 5 «Влияние осмоса на тургорное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>ках растений». Лабораторная работа № 9 «Поведение хромосом при мейотическом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кома- ров-звонцов». Лабораторная работа № 13 «Определение полового хроматина в клетках буккального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«Расчет частоты встречаемости аллелей и генотипов в популяции». Рассчитать частоту встечаемости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>лена» Выявить физи</w:t>
      </w:r>
      <w:r w:rsidR="0090073C">
        <w:rPr>
          <w:rFonts w:ascii="Times New Roman" w:hAnsi="Times New Roman" w:cs="Times New Roman"/>
          <w:sz w:val="28"/>
          <w:szCs w:val="28"/>
        </w:rPr>
        <w:t>ческих механизм правила Аллена.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физических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растениях».Определить содержание нитратов в продуктах питания.Парниковый эффект и глобальное поте</w:t>
      </w:r>
      <w:r w:rsidRPr="007D523C">
        <w:rPr>
          <w:rFonts w:ascii="Times New Roman" w:hAnsi="Times New Roman" w:cs="Times New Roman"/>
          <w:sz w:val="28"/>
          <w:szCs w:val="28"/>
        </w:rPr>
        <w:t>п</w:t>
      </w:r>
      <w:r w:rsidRPr="007D523C">
        <w:rPr>
          <w:rFonts w:ascii="Times New Roman" w:hAnsi="Times New Roman" w:cs="Times New Roman"/>
          <w:sz w:val="28"/>
          <w:szCs w:val="28"/>
        </w:rPr>
        <w:t>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1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1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граммойпроводится в форме письменных работ, предполагается проведение пром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иитоговой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системызнаний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промежуточнойаттестации включают материал основных разделов курса би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3270B7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аденин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урацил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тимин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пероксисомах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комплексе Гольджи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аденин, гуанин, урацил, цитозин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цитозин, гуанин, аденин, тимин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тимин, урацил, аденин,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аденин, урацил, тимин, цитозин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кпотомству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тРНК может быть закодирована информация во 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BD" w:rsidRDefault="00B96FBD" w:rsidP="00C822D0">
      <w:pPr>
        <w:spacing w:after="0" w:line="240" w:lineRule="auto"/>
      </w:pPr>
      <w:r>
        <w:separator/>
      </w:r>
    </w:p>
  </w:endnote>
  <w:endnote w:type="continuationSeparator" w:id="0">
    <w:p w:rsidR="00B96FBD" w:rsidRDefault="00B96FBD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BD" w:rsidRDefault="00B96FBD" w:rsidP="00C822D0">
      <w:pPr>
        <w:spacing w:after="0" w:line="240" w:lineRule="auto"/>
      </w:pPr>
      <w:r>
        <w:separator/>
      </w:r>
    </w:p>
  </w:footnote>
  <w:footnote w:type="continuationSeparator" w:id="0">
    <w:p w:rsidR="00B96FBD" w:rsidRDefault="00B96FBD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01"/>
    <w:rsid w:val="00036305"/>
    <w:rsid w:val="00040B30"/>
    <w:rsid w:val="000A18BB"/>
    <w:rsid w:val="000E4D0F"/>
    <w:rsid w:val="00122FAA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941AE"/>
    <w:rsid w:val="008A23F2"/>
    <w:rsid w:val="008B61EA"/>
    <w:rsid w:val="0090073C"/>
    <w:rsid w:val="00957856"/>
    <w:rsid w:val="009F5B08"/>
    <w:rsid w:val="00A31FDF"/>
    <w:rsid w:val="00A5165E"/>
    <w:rsid w:val="00B204EF"/>
    <w:rsid w:val="00B41D7D"/>
    <w:rsid w:val="00B96FBD"/>
    <w:rsid w:val="00C366E8"/>
    <w:rsid w:val="00C822D0"/>
    <w:rsid w:val="00CD6C3E"/>
    <w:rsid w:val="00CF23B7"/>
    <w:rsid w:val="00D44011"/>
    <w:rsid w:val="00DD2C41"/>
    <w:rsid w:val="00E310D2"/>
    <w:rsid w:val="00ED7ABE"/>
    <w:rsid w:val="00EE7C0A"/>
    <w:rsid w:val="00F02E54"/>
    <w:rsid w:val="00F0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DC4CB2-A810-4E0C-A67E-55C2FC42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real</cp:lastModifiedBy>
  <cp:revision>5</cp:revision>
  <dcterms:created xsi:type="dcterms:W3CDTF">2021-08-19T18:29:00Z</dcterms:created>
  <dcterms:modified xsi:type="dcterms:W3CDTF">2023-01-16T01:25:00Z</dcterms:modified>
</cp:coreProperties>
</file>